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bookmarkStart w:id="0" w:name="_GoBack"/>
      <w:bookmarkEnd w:id="0"/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oito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dezoito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2916 de 17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POR ANULAÇÃO DE DOTAÇÃO E DÁ OUTRAS </w:t>
      </w:r>
      <w:proofErr w:type="gramStart"/>
      <w:r w:rsidR="00E07389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2917 de 17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POR ANULAÇÃO DE DOTAÇÃO E DÁ OUTRAS </w:t>
      </w:r>
      <w:proofErr w:type="gramStart"/>
      <w:r w:rsidR="00E07389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E07389"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2918 de 20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E07389" w:rsidRPr="00950E8E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2919 de 20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2920 de 20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SUPLEMENTAR POR ANULAÇÃO DE DOTAÇÃO E DÁ OUTRAS </w:t>
      </w:r>
      <w:proofErr w:type="gramStart"/>
      <w:r w:rsidR="00E07389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2921 de 21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E07389" w:rsidRPr="00950E8E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2923 de 24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E07389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2924 de 25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“ABRE NO ORÇAMENTO VIGENTE CRÉDITO ADICIONAL SUPLEMENTAR E DÁ OUTRAS </w:t>
      </w:r>
      <w:proofErr w:type="gramStart"/>
      <w:r w:rsidR="00E07389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2925 de 25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E07389" w:rsidRPr="00950E8E">
        <w:rPr>
          <w:rFonts w:ascii="Carlito" w:hAnsi="Carlito" w:cs="Carlito"/>
          <w:sz w:val="24"/>
          <w:szCs w:val="24"/>
        </w:rPr>
        <w:t xml:space="preserve">ABRE NO ORÇAMENTO VIGENTE CRÉDITO ADICIONAL SUPLEMENTAR E DÁ OUTRAS </w:t>
      </w:r>
      <w:proofErr w:type="gramStart"/>
      <w:r w:rsidR="00E07389" w:rsidRPr="00950E8E">
        <w:rPr>
          <w:rFonts w:ascii="Carlito" w:hAnsi="Carlito" w:cs="Carlito"/>
          <w:sz w:val="24"/>
          <w:szCs w:val="24"/>
        </w:rPr>
        <w:t>PROVIDÊNCIAS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>.”</w:t>
      </w:r>
      <w:proofErr w:type="gramEnd"/>
      <w:r w:rsidR="00E07389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2926 de 25 de outubro de 2022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07389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E07389" w:rsidRPr="00950E8E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E07389" w:rsidRPr="00950E8E">
        <w:rPr>
          <w:rFonts w:ascii="Carlito" w:hAnsi="Carlito" w:cs="Carlito"/>
          <w:sz w:val="24"/>
          <w:szCs w:val="24"/>
        </w:rPr>
        <w:t xml:space="preserve">ABRE NO ORÇAMENTO VIGENTE CRÉDITO ADICIONAL SUPLEMENTAR E DÁ OUTRAS </w:t>
      </w:r>
      <w:proofErr w:type="gramStart"/>
      <w:r w:rsidR="00E07389" w:rsidRPr="00950E8E">
        <w:rPr>
          <w:rFonts w:ascii="Carlito" w:hAnsi="Carlito" w:cs="Carlito"/>
          <w:sz w:val="24"/>
          <w:szCs w:val="24"/>
        </w:rPr>
        <w:t>PROVIDÊNCIAS</w:t>
      </w:r>
      <w:r w:rsidR="00E07389">
        <w:rPr>
          <w:rFonts w:ascii="Carlito" w:hAnsi="Carlito" w:cs="Carlito"/>
          <w:color w:val="000000"/>
          <w:sz w:val="24"/>
          <w:szCs w:val="24"/>
        </w:rPr>
        <w:t>.</w:t>
      </w:r>
      <w:r w:rsidR="00E07389" w:rsidRPr="006941AD">
        <w:rPr>
          <w:color w:val="000000"/>
        </w:rPr>
        <w:t>”</w:t>
      </w:r>
      <w:proofErr w:type="gramEnd"/>
      <w:r w:rsidR="00F84F1D" w:rsidRPr="00F84F1D">
        <w:rPr>
          <w:rFonts w:ascii="Times New Roman" w:eastAsia="Calibri" w:hAnsi="Times New Roman" w:cs="Times New Roman"/>
          <w:color w:val="000000"/>
        </w:rPr>
        <w:t>.</w:t>
      </w:r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</w:t>
      </w:r>
      <w:r w:rsidR="00E07389">
        <w:rPr>
          <w:rFonts w:ascii="Times New Roman" w:hAnsi="Times New Roman" w:cs="Times New Roman"/>
          <w:sz w:val="24"/>
          <w:szCs w:val="24"/>
        </w:rPr>
        <w:t>Rodrigo Santos Alves Dantas</w:t>
      </w:r>
      <w:r w:rsidR="008E0D71" w:rsidRPr="0024376F">
        <w:rPr>
          <w:rFonts w:ascii="Times New Roman" w:hAnsi="Times New Roman" w:cs="Times New Roman"/>
          <w:sz w:val="24"/>
          <w:szCs w:val="24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F84F1D">
        <w:rPr>
          <w:rFonts w:ascii="Times New Roman" w:hAnsi="Times New Roman" w:cs="Times New Roman"/>
          <w:sz w:val="24"/>
          <w:szCs w:val="24"/>
        </w:rPr>
        <w:t xml:space="preserve"> vinte</w:t>
      </w:r>
      <w:r w:rsidR="00E07389">
        <w:rPr>
          <w:rFonts w:ascii="Times New Roman" w:hAnsi="Times New Roman" w:cs="Times New Roman"/>
          <w:sz w:val="24"/>
          <w:szCs w:val="24"/>
        </w:rPr>
        <w:t xml:space="preserve"> e oito</w:t>
      </w:r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525099">
        <w:rPr>
          <w:rFonts w:ascii="Times New Roman" w:hAnsi="Times New Roman" w:cs="Times New Roman"/>
          <w:sz w:val="24"/>
          <w:szCs w:val="24"/>
        </w:rPr>
        <w:t>junho</w:t>
      </w:r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11" w:rsidRDefault="00B65411" w:rsidP="008E0D71">
      <w:pPr>
        <w:spacing w:after="0" w:line="240" w:lineRule="auto"/>
      </w:pPr>
      <w:r>
        <w:separator/>
      </w:r>
    </w:p>
  </w:endnote>
  <w:endnote w:type="continuationSeparator" w:id="0">
    <w:p w:rsidR="00B65411" w:rsidRDefault="00B6541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11" w:rsidRDefault="00B65411" w:rsidP="008E0D71">
      <w:pPr>
        <w:spacing w:after="0" w:line="240" w:lineRule="auto"/>
      </w:pPr>
      <w:r>
        <w:separator/>
      </w:r>
    </w:p>
  </w:footnote>
  <w:footnote w:type="continuationSeparator" w:id="0">
    <w:p w:rsidR="00B65411" w:rsidRDefault="00B6541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6541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6189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84F1D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2021-12-28T14:56:00Z</cp:lastPrinted>
  <dcterms:created xsi:type="dcterms:W3CDTF">2022-11-11T12:52:00Z</dcterms:created>
  <dcterms:modified xsi:type="dcterms:W3CDTF">2022-11-11T12:52:00Z</dcterms:modified>
</cp:coreProperties>
</file>