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21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</w:rPr>
        <w:t>No dia</w:t>
      </w:r>
      <w:r>
        <w:rPr>
          <w:rFonts w:hint="default"/>
          <w:sz w:val="28"/>
          <w:szCs w:val="28"/>
          <w:lang w:val="pt-BR"/>
        </w:rPr>
        <w:t xml:space="preserve">s Vinte e Seis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junho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Presidente Elizeu Messias da Silva –MDB, e do Relator – Manoel Henrique Santos de Souza – PSDB e Membro </w:t>
      </w:r>
      <w:r>
        <w:rPr>
          <w:sz w:val="28"/>
          <w:szCs w:val="28"/>
        </w:rPr>
        <w:t>– Milton Custódio Bragança-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 xml:space="preserve">Vinte Seis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do mês de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junho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3356817"/>
    <w:rsid w:val="180755C0"/>
    <w:rsid w:val="184E3429"/>
    <w:rsid w:val="296F131C"/>
    <w:rsid w:val="33C45D5A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3754C8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62</TotalTime>
  <ScaleCrop>false</ScaleCrop>
  <LinksUpToDate>false</LinksUpToDate>
  <CharactersWithSpaces>1250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2023-07-17T14:11:07Z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