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10/2023</w:t>
      </w:r>
    </w:p>
    <w:p>
      <w:pPr>
        <w:spacing w:after="0" w:line="240" w:lineRule="auto"/>
        <w:ind w:firstLine="3532" w:firstLineChars="147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Dez do mês Abril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dezenove horas  e dez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Decreto Legislativo N. 206/23, de 14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“CONCEDE TÍTULO DE CIDADÃO HONORÁRIO AO ILUSTRÍSSIMO SENHOR IGOR HABIB RAMOS FERNANDES.”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9/23, de 14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INSTITUI AJUDA DE CUSTO PARA MÉDICO(S) PARTICIPANTE(S) DO PROGRAMA MÉDICOS PELO BRASIL (PMPB) NO ÂMBITO DO MUNICÍPIO DA ESTÂNCIA TURÍSTICA DE OURO PRETO DO OESTE/RO,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3010/2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15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E ACRESCENTA DISPOSITIVOS NA LEI 2582 DE 28 DE FEVEREIRO DE 2019”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3011/23, de 15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“ALTERA DISPOSITIVOS DA LEI N° 2163 DE 17 DE NOVEMBRO DE 2015, QUE DISPÕE SOBRE A CRIAÇÃO DA GRATIFICAÇÃO DE CONDUÇÃO DE VEÍCULOS E DÁ OUTRAS PROVIDÊNCIAS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3012/2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17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EXCESSO DE ARRECADAÇÃO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3013/2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SUPERAVIT FINANCEIRO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“DISPÕE SOBRE A INSTITUIÇÃO DO PROGRAMA DE RECUPERAÇÃO FISCAL DE CONTRIBUINTES DO MUNICÍPIO DE OURO PRETO DO OESTE – REFIS MUNICIPAL 2023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9/23, de 14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INSTITUI AJUDA DE CUSTO PARA MÉDICO(S) PARTICIPANTE(S) DO PROGRAMA MÉDICOS PELO BRASIL (PMPB) NO ÂMBITO DO MUNICÍPIO DA ESTÂNCIA TURÍSTICA DE OURO PRETO DO OESTE/RO,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3010/2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15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E ACRESCENTA DISPOSITIVOS NA LEI 2582 DE 28 DE FEVEREIRO DE 2019”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3011/23, de 15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“ALTERA DISPOSITIVOS DA LEI N° 2163 DE 17 DE NOVEMBRO DE 2015, QUE DISPÕE SOBRE A CRIAÇÃO DA GRATIFICAÇÃO DE CONDUÇÃO DE VEÍCULOS E DÁ OUTRAS PROVIDÊNCIAS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3012/2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17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EXCESSO DE ARRECADAÇÃO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3013/2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SUPERAVIT FINANCEIRO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“DISPÕE SOBRE A INSTITUIÇÃO DO PROGRAMA DE RECUPERAÇÃO FISCAL DE CONTRIBUINTES DO MUNICÍPIO DE OURO PRETO DO OESTE – REFIS MUNICIPAL 2023 E DÁ OUTRAS PROVIDÊNCIAS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Dez  </w:t>
      </w:r>
      <w:r>
        <w:t xml:space="preserve">do mês de </w:t>
      </w:r>
      <w:r>
        <w:rPr>
          <w:rFonts w:hint="default"/>
          <w:lang w:val="pt-BR"/>
        </w:rPr>
        <w:t xml:space="preserve">Abril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5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3F2F3BF3"/>
    <w:rsid w:val="410A693A"/>
    <w:rsid w:val="411D3FAF"/>
    <w:rsid w:val="464952E2"/>
    <w:rsid w:val="56FE4A6C"/>
    <w:rsid w:val="5D551C37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szCs w:val="24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3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46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