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0010BD" w:rsidRDefault="00BB4195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</w:t>
      </w:r>
      <w:r w:rsidR="00CE3307" w:rsidRPr="000010BD">
        <w:rPr>
          <w:rFonts w:ascii="Trebuchet MS" w:hAnsi="Trebuchet MS"/>
          <w:b/>
          <w:bCs/>
        </w:rPr>
        <w:t>1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B02ABD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1</w:t>
      </w:r>
      <w:r w:rsidR="001857B8">
        <w:rPr>
          <w:rFonts w:ascii="Trebuchet MS" w:hAnsi="Trebuchet MS"/>
          <w:b/>
          <w:bCs/>
        </w:rPr>
        <w:t>7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 w:rsidR="007743E2">
        <w:rPr>
          <w:rFonts w:ascii="Trebuchet MS" w:hAnsi="Trebuchet MS"/>
          <w:b/>
          <w:bCs/>
        </w:rPr>
        <w:t>EXTRA</w:t>
      </w:r>
      <w:r w:rsidR="00B63A2D" w:rsidRPr="000010BD">
        <w:rPr>
          <w:rFonts w:ascii="Trebuchet MS" w:hAnsi="Trebuchet MS"/>
          <w:b/>
          <w:bCs/>
        </w:rPr>
        <w:t>ORDIN</w:t>
      </w:r>
      <w:r w:rsidR="007743E2">
        <w:rPr>
          <w:rFonts w:ascii="Trebuchet MS" w:hAnsi="Trebuchet MS"/>
          <w:b/>
          <w:bCs/>
        </w:rPr>
        <w:t>Á</w:t>
      </w:r>
      <w:r w:rsidR="00B63A2D" w:rsidRPr="000010BD">
        <w:rPr>
          <w:rFonts w:ascii="Trebuchet MS" w:hAnsi="Trebuchet MS"/>
          <w:b/>
          <w:bCs/>
        </w:rPr>
        <w:t>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 w:rsidR="002A3A5B" w:rsidRPr="000010BD">
        <w:rPr>
          <w:rFonts w:ascii="Trebuchet MS" w:hAnsi="Trebuchet MS"/>
          <w:b/>
          <w:bCs/>
        </w:rPr>
        <w:t xml:space="preserve"> 03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 w:rsidR="002A3A5B" w:rsidRPr="000010BD">
        <w:rPr>
          <w:rFonts w:ascii="Trebuchet MS" w:hAnsi="Trebuchet MS"/>
          <w:b/>
          <w:bCs/>
        </w:rPr>
        <w:t>6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7743E2">
        <w:rPr>
          <w:rFonts w:ascii="Trebuchet MS" w:hAnsi="Trebuchet MS"/>
          <w:b/>
          <w:bCs/>
        </w:rPr>
        <w:t xml:space="preserve">     </w:t>
      </w:r>
      <w:r w:rsidR="00F62264" w:rsidRPr="000010BD">
        <w:rPr>
          <w:rFonts w:ascii="Trebuchet MS" w:hAnsi="Trebuchet MS"/>
          <w:b/>
          <w:bCs/>
        </w:rPr>
        <w:t>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Pr="000010BD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7510E9" w:rsidRPr="000010BD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3345EC" w:rsidRPr="000010BD" w:rsidRDefault="003345EC" w:rsidP="008634D7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</w:rPr>
        <w:tab/>
      </w:r>
    </w:p>
    <w:p w:rsidR="007510E9" w:rsidRPr="000010BD" w:rsidRDefault="003345EC" w:rsidP="00A25CAB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0010BD">
        <w:rPr>
          <w:rFonts w:ascii="Trebuchet MS" w:hAnsi="Trebuchet MS" w:cstheme="minorHAnsi"/>
          <w:b/>
          <w:bCs/>
        </w:rPr>
        <w:tab/>
      </w:r>
      <w:r w:rsidR="007510E9" w:rsidRPr="000010BD">
        <w:rPr>
          <w:rFonts w:ascii="Trebuchet MS" w:hAnsi="Trebuchet MS" w:cstheme="minorHAnsi"/>
          <w:b/>
          <w:bCs/>
          <w:u w:val="single"/>
        </w:rPr>
        <w:t xml:space="preserve">Leitura do Projeto de Lei do Legislativo 652/19 de 22 de maio de que </w:t>
      </w:r>
      <w:r w:rsidR="007510E9" w:rsidRPr="00A25CAB">
        <w:rPr>
          <w:rFonts w:ascii="Trebuchet MS" w:hAnsi="Trebuchet MS" w:cstheme="minorHAnsi"/>
          <w:bCs/>
        </w:rPr>
        <w:t>“RECONHECE COMO UTILIDADE PÚBLICA A APROVIC – ASSOCIAÇÃO DOS PRODUTORES RURAIS DO KM VINTE E CINCO”.</w:t>
      </w:r>
      <w:r w:rsidR="008634D7" w:rsidRPr="000010BD">
        <w:rPr>
          <w:rFonts w:ascii="Trebuchet MS" w:hAnsi="Trebuchet MS"/>
        </w:rPr>
        <w:t xml:space="preserve"> </w:t>
      </w:r>
      <w:r w:rsidR="00A25CAB" w:rsidRPr="00A25CAB">
        <w:rPr>
          <w:rFonts w:ascii="Trebuchet MS" w:hAnsi="Trebuchet MS"/>
          <w:highlight w:val="yellow"/>
        </w:rPr>
        <w:t>“</w:t>
      </w:r>
      <w:r w:rsidR="00A25CAB" w:rsidRPr="00A25CAB">
        <w:rPr>
          <w:rFonts w:ascii="Trebuchet MS" w:hAnsi="Trebuchet MS"/>
          <w:highlight w:val="yellow"/>
        </w:rPr>
        <w:t>A entidade aqui destacada tem por finalidade atuar na representação de seus</w:t>
      </w:r>
      <w:r w:rsidR="00A25CAB" w:rsidRPr="00A25CAB">
        <w:rPr>
          <w:rFonts w:ascii="Trebuchet MS" w:hAnsi="Trebuchet MS"/>
          <w:highlight w:val="yellow"/>
        </w:rPr>
        <w:t xml:space="preserve"> </w:t>
      </w:r>
      <w:r w:rsidR="00A25CAB" w:rsidRPr="00A25CAB">
        <w:rPr>
          <w:rFonts w:ascii="Trebuchet MS" w:hAnsi="Trebuchet MS"/>
          <w:highlight w:val="yellow"/>
        </w:rPr>
        <w:t>associados e da comunidade rural localizada na linha 205, zona rural do Distrito de</w:t>
      </w:r>
      <w:r w:rsidR="00A25CAB" w:rsidRPr="00A25CAB">
        <w:rPr>
          <w:rFonts w:ascii="Trebuchet MS" w:hAnsi="Trebuchet MS"/>
          <w:highlight w:val="yellow"/>
        </w:rPr>
        <w:t xml:space="preserve"> </w:t>
      </w:r>
      <w:proofErr w:type="spellStart"/>
      <w:r w:rsidR="00A25CAB" w:rsidRPr="00A25CAB">
        <w:rPr>
          <w:rFonts w:ascii="Trebuchet MS" w:hAnsi="Trebuchet MS"/>
          <w:highlight w:val="yellow"/>
        </w:rPr>
        <w:t>Rondominas</w:t>
      </w:r>
      <w:proofErr w:type="spellEnd"/>
      <w:r w:rsidR="00A25CAB" w:rsidRPr="00A25CAB">
        <w:rPr>
          <w:rFonts w:ascii="Trebuchet MS" w:hAnsi="Trebuchet MS"/>
          <w:highlight w:val="yellow"/>
        </w:rPr>
        <w:t>,</w:t>
      </w:r>
      <w:r w:rsidR="00A25CAB" w:rsidRPr="00A25CAB">
        <w:rPr>
          <w:rFonts w:ascii="Trebuchet MS" w:hAnsi="Trebuchet MS"/>
          <w:highlight w:val="yellow"/>
        </w:rPr>
        <w:t xml:space="preserve"> neste Município.</w:t>
      </w:r>
      <w:r w:rsidR="00A25CAB" w:rsidRPr="00A25CAB">
        <w:rPr>
          <w:rFonts w:ascii="Trebuchet MS" w:hAnsi="Trebuchet MS"/>
          <w:highlight w:val="yellow"/>
        </w:rPr>
        <w:t xml:space="preserve"> </w:t>
      </w:r>
      <w:r w:rsidR="00A25CAB" w:rsidRPr="00A25CAB">
        <w:rPr>
          <w:rFonts w:ascii="Trebuchet MS" w:hAnsi="Trebuchet MS"/>
          <w:highlight w:val="yellow"/>
        </w:rPr>
        <w:t>Associação representativa, que busca defender os interesses do homem do campo,</w:t>
      </w:r>
      <w:r w:rsidR="00A25CAB" w:rsidRPr="00A25CAB">
        <w:rPr>
          <w:rFonts w:ascii="Trebuchet MS" w:hAnsi="Trebuchet MS"/>
          <w:highlight w:val="yellow"/>
        </w:rPr>
        <w:t xml:space="preserve"> </w:t>
      </w:r>
      <w:r w:rsidR="00A25CAB" w:rsidRPr="00A25CAB">
        <w:rPr>
          <w:rFonts w:ascii="Trebuchet MS" w:hAnsi="Trebuchet MS"/>
          <w:highlight w:val="yellow"/>
        </w:rPr>
        <w:t>pugnando por melhorias nas estradas vicinais, escoamento de produção e ainda</w:t>
      </w:r>
      <w:r w:rsidR="00A25CAB" w:rsidRPr="00A25CAB">
        <w:rPr>
          <w:rFonts w:ascii="Trebuchet MS" w:hAnsi="Trebuchet MS"/>
          <w:highlight w:val="yellow"/>
        </w:rPr>
        <w:t xml:space="preserve"> </w:t>
      </w:r>
      <w:r w:rsidR="00A25CAB" w:rsidRPr="00A25CAB">
        <w:rPr>
          <w:rFonts w:ascii="Trebuchet MS" w:hAnsi="Trebuchet MS"/>
          <w:highlight w:val="yellow"/>
        </w:rPr>
        <w:t>investimentos na educação e transporte escolar.</w:t>
      </w:r>
      <w:r w:rsidR="00A25CAB" w:rsidRPr="00A25CAB">
        <w:rPr>
          <w:rFonts w:ascii="Trebuchet MS" w:hAnsi="Trebuchet MS"/>
          <w:highlight w:val="yellow"/>
        </w:rPr>
        <w:t>”</w:t>
      </w:r>
    </w:p>
    <w:p w:rsidR="002A3A5B" w:rsidRPr="000010BD" w:rsidRDefault="002A3A5B" w:rsidP="008634D7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502CFC" w:rsidRDefault="007510E9" w:rsidP="001857B8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iCs/>
          <w:lang w:eastAsia="en-US"/>
        </w:rPr>
      </w:pPr>
      <w:r w:rsidRPr="000010BD">
        <w:rPr>
          <w:rFonts w:ascii="Trebuchet MS" w:hAnsi="Trebuchet MS" w:cstheme="minorHAnsi"/>
          <w:b/>
          <w:bCs/>
        </w:rPr>
        <w:tab/>
      </w:r>
      <w:r w:rsidR="001857B8" w:rsidRPr="000010BD">
        <w:rPr>
          <w:rFonts w:ascii="Trebuchet MS" w:hAnsi="Trebuchet MS" w:cstheme="minorHAnsi"/>
          <w:b/>
          <w:bCs/>
          <w:u w:val="single"/>
        </w:rPr>
        <w:t>Leitura do Projeto de Lei ao 2456/19 de 21 de maio de que</w:t>
      </w:r>
      <w:r w:rsidR="001857B8" w:rsidRPr="000010BD">
        <w:rPr>
          <w:rFonts w:ascii="Trebuchet MS" w:hAnsi="Trebuchet MS" w:cstheme="minorHAnsi"/>
          <w:b/>
          <w:bCs/>
        </w:rPr>
        <w:t xml:space="preserve"> “</w:t>
      </w:r>
      <w:r w:rsidR="001857B8" w:rsidRPr="000010BD">
        <w:rPr>
          <w:rFonts w:ascii="Trebuchet MS" w:eastAsiaTheme="minorHAnsi" w:hAnsi="Trebuchet MS" w:cs="Arial"/>
          <w:iCs/>
          <w:lang w:eastAsia="en-US"/>
        </w:rPr>
        <w:t>AUTORIZA O PODER EXECUTIVO A ABRIR NO ORÇAMENTO VIGENTE CRÉDITO ADICIONAL SUPLEMENTAR E DA OUTRAS PROVIDÊNCIAS”.</w:t>
      </w:r>
      <w:r w:rsidR="001857B8" w:rsidRPr="00206FE6">
        <w:t xml:space="preserve"> </w:t>
      </w:r>
      <w:r w:rsidR="001857B8" w:rsidRPr="00206FE6">
        <w:rPr>
          <w:rFonts w:ascii="Trebuchet MS" w:eastAsiaTheme="minorHAnsi" w:hAnsi="Trebuchet MS" w:cs="Arial"/>
          <w:iCs/>
          <w:highlight w:val="yellow"/>
          <w:lang w:eastAsia="en-US"/>
        </w:rPr>
        <w:t>A solicitação no valor de R$. 36.000,00 (Trinta e seis mil reais) se faz necessário para atender as necessidades do Gabinete do Prefeito para atender ao aditivo de 25% (vinte e cinco por cento), referente ao Contrato n° 28/2018 que tem como objeto a contratação de empresa especializada para prestação de serviços de publicidade e propaganda. Segue anexo Memo. n° 243/</w:t>
      </w:r>
      <w:proofErr w:type="spellStart"/>
      <w:r w:rsidR="001857B8" w:rsidRPr="00206FE6">
        <w:rPr>
          <w:rFonts w:ascii="Trebuchet MS" w:eastAsiaTheme="minorHAnsi" w:hAnsi="Trebuchet MS" w:cs="Arial"/>
          <w:iCs/>
          <w:highlight w:val="yellow"/>
          <w:lang w:eastAsia="en-US"/>
        </w:rPr>
        <w:t>Gab</w:t>
      </w:r>
      <w:proofErr w:type="spellEnd"/>
      <w:r w:rsidR="001857B8" w:rsidRPr="00206FE6">
        <w:rPr>
          <w:rFonts w:ascii="Trebuchet MS" w:eastAsiaTheme="minorHAnsi" w:hAnsi="Trebuchet MS" w:cs="Arial"/>
          <w:iCs/>
          <w:highlight w:val="yellow"/>
          <w:lang w:eastAsia="en-US"/>
        </w:rPr>
        <w:t>. Prefeito de 15.05.2019 e Memo. n° 284/SEMINFRA que disponibiliza parte do valor ora solicitado R$. 16.000,00 (Dezesseis mil reais), Parecer da Contabilidade, Parecer Jurídico e Parecer da Coordenadoria do Controle Interno.</w:t>
      </w:r>
    </w:p>
    <w:p w:rsidR="001857B8" w:rsidRPr="000010BD" w:rsidRDefault="001857B8" w:rsidP="001857B8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</w:rPr>
      </w:pPr>
    </w:p>
    <w:p w:rsidR="00156B73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LEITURA DOS EXPEDIENTES RECEBIDOS</w:t>
      </w:r>
    </w:p>
    <w:p w:rsidR="00572E63" w:rsidRPr="000010BD" w:rsidRDefault="00572E63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Pr="000010BD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0F2BCF" w:rsidRPr="000010BD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Pr="000010BD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502CFC" w:rsidRPr="000010BD" w:rsidRDefault="00502CFC" w:rsidP="000621AD">
      <w:pPr>
        <w:jc w:val="center"/>
        <w:rPr>
          <w:rFonts w:ascii="Trebuchet MS" w:hAnsi="Trebuchet MS" w:cstheme="minorHAnsi"/>
          <w:b/>
          <w:bCs/>
          <w:u w:val="single"/>
        </w:rPr>
      </w:pPr>
    </w:p>
    <w:p w:rsid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 w:rsidR="00A25CAB">
        <w:rPr>
          <w:rFonts w:ascii="Trebuchet MS" w:hAnsi="Trebuchet MS" w:cstheme="minorHAnsi"/>
          <w:b/>
          <w:bCs/>
          <w:u w:val="single"/>
        </w:rPr>
        <w:t xml:space="preserve">“SEGUNDA VOTAÇÃO” </w:t>
      </w:r>
      <w:r w:rsidRPr="000010BD">
        <w:rPr>
          <w:rFonts w:ascii="Trebuchet MS" w:hAnsi="Trebuchet MS" w:cstheme="minorHAnsi"/>
          <w:b/>
          <w:bCs/>
          <w:u w:val="single"/>
        </w:rPr>
        <w:t>do Projeto de Lei do Legislativo n°652/19.</w:t>
      </w:r>
    </w:p>
    <w:p w:rsidR="001857B8" w:rsidRDefault="001857B8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bookmarkStart w:id="0" w:name="_GoBack"/>
      <w:bookmarkEnd w:id="0"/>
    </w:p>
    <w:p w:rsidR="001857B8" w:rsidRPr="000010BD" w:rsidRDefault="001857B8" w:rsidP="001857B8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“SEGUNGA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VOTAÇÃO</w:t>
      </w:r>
      <w:r>
        <w:rPr>
          <w:rFonts w:ascii="Trebuchet MS" w:hAnsi="Trebuchet MS" w:cstheme="minorHAnsi"/>
          <w:b/>
          <w:bCs/>
          <w:u w:val="single"/>
        </w:rPr>
        <w:t>”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do Projeto de Lei n°2456/19.</w:t>
      </w:r>
    </w:p>
    <w:p w:rsidR="00A25CAB" w:rsidRPr="000010BD" w:rsidRDefault="00A25CAB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0010BD" w:rsidRPr="000010BD" w:rsidRDefault="000010B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F148DD" w:rsidRPr="000010B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156B73" w:rsidRPr="000010BD" w:rsidRDefault="00156B73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Pr="000010BD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BB4195">
        <w:rPr>
          <w:rFonts w:ascii="Trebuchet MS" w:hAnsi="Trebuchet MS" w:cstheme="minorHAnsi"/>
        </w:rPr>
        <w:t>03</w:t>
      </w:r>
      <w:r w:rsidR="002200B6" w:rsidRPr="000010BD">
        <w:rPr>
          <w:rFonts w:ascii="Trebuchet MS" w:hAnsi="Trebuchet MS" w:cstheme="minorHAnsi"/>
        </w:rPr>
        <w:t xml:space="preserve"> de </w:t>
      </w:r>
      <w:r w:rsidR="00BB4195">
        <w:rPr>
          <w:rFonts w:ascii="Trebuchet MS" w:hAnsi="Trebuchet MS" w:cstheme="minorHAnsi"/>
        </w:rPr>
        <w:t>junho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B63A2D" w:rsidRDefault="00B63A2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72E63" w:rsidRPr="000010BD" w:rsidRDefault="00572E6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A105ADC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465A-0585-4FA2-842E-A00F752D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15</cp:revision>
  <cp:lastPrinted>2019-06-03T23:11:00Z</cp:lastPrinted>
  <dcterms:created xsi:type="dcterms:W3CDTF">2019-05-31T13:01:00Z</dcterms:created>
  <dcterms:modified xsi:type="dcterms:W3CDTF">2019-06-03T23:15:00Z</dcterms:modified>
</cp:coreProperties>
</file>